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 «Ладушки»</w:t>
      </w: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9C5006" w:rsidTr="00471A65">
        <w:tc>
          <w:tcPr>
            <w:tcW w:w="4785" w:type="dxa"/>
          </w:tcPr>
          <w:p w:rsidR="009C5006" w:rsidRDefault="009C5006" w:rsidP="00471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:rsidR="009C5006" w:rsidRDefault="009C5006" w:rsidP="00471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заседании педагогического совета</w:t>
            </w:r>
          </w:p>
          <w:p w:rsidR="009C5006" w:rsidRDefault="009C5006" w:rsidP="00471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 2019 г.</w:t>
            </w:r>
          </w:p>
          <w:p w:rsidR="009C5006" w:rsidRDefault="009C5006" w:rsidP="00471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_______</w:t>
            </w:r>
          </w:p>
        </w:tc>
        <w:tc>
          <w:tcPr>
            <w:tcW w:w="4786" w:type="dxa"/>
          </w:tcPr>
          <w:p w:rsidR="009C5006" w:rsidRDefault="009C5006" w:rsidP="00471A65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9C5006" w:rsidRDefault="009C5006" w:rsidP="00471A65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МБДОУ № 1</w:t>
            </w:r>
          </w:p>
          <w:p w:rsidR="009C5006" w:rsidRDefault="009C5006" w:rsidP="00471A65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06" w:rsidRDefault="009C5006" w:rsidP="00471A65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  А.Е.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Есина</w:t>
            </w:r>
            <w:proofErr w:type="spellEnd"/>
          </w:p>
        </w:tc>
      </w:tr>
    </w:tbl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МУЗЫКАЛЬНОГО ЗАЛА</w:t>
      </w: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4780"/>
            <wp:effectExtent l="19050" t="0" r="3810" b="0"/>
            <wp:docPr id="2" name="Рисунок 1" descr="Прощайте,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щайте, игруш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Pr="00A61BB5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3822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зал в детском саду</w:t>
      </w:r>
      <w:r w:rsidRPr="00A61BB5">
        <w:rPr>
          <w:rFonts w:ascii="Times New Roman" w:hAnsi="Times New Roman" w:cs="Times New Roman"/>
          <w:sz w:val="28"/>
          <w:szCs w:val="28"/>
        </w:rPr>
        <w:t xml:space="preserve"> –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 Поэтому здесь, как и в любом помещении детского сада, крайне актуальны </w:t>
      </w: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A61BB5">
        <w:rPr>
          <w:rFonts w:ascii="Times New Roman" w:hAnsi="Times New Roman" w:cs="Times New Roman"/>
          <w:sz w:val="28"/>
          <w:szCs w:val="28"/>
        </w:rPr>
        <w:t xml:space="preserve"> и соблюдение правил противопожарной безопасности. </w:t>
      </w:r>
    </w:p>
    <w:p w:rsidR="009C5006" w:rsidRDefault="009C5006" w:rsidP="009C5006">
      <w:pPr>
        <w:spacing w:after="0" w:line="240" w:lineRule="auto"/>
        <w:rPr>
          <w:rStyle w:val="FontStyle36"/>
          <w:i w:val="0"/>
          <w:sz w:val="28"/>
          <w:szCs w:val="28"/>
        </w:rPr>
      </w:pPr>
      <w:r w:rsidRPr="00DB560F">
        <w:rPr>
          <w:rStyle w:val="FontStyle36"/>
          <w:i w:val="0"/>
          <w:sz w:val="28"/>
          <w:szCs w:val="28"/>
        </w:rPr>
        <w:t xml:space="preserve">       </w:t>
      </w:r>
    </w:p>
    <w:p w:rsidR="009C5006" w:rsidRPr="00DB560F" w:rsidRDefault="009C5006" w:rsidP="009C50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560F">
        <w:rPr>
          <w:rStyle w:val="FontStyle36"/>
          <w:i w:val="0"/>
          <w:sz w:val="28"/>
          <w:szCs w:val="28"/>
        </w:rPr>
        <w:t xml:space="preserve">                        Нормативно-правовая база</w:t>
      </w:r>
    </w:p>
    <w:p w:rsidR="009C5006" w:rsidRPr="00993822" w:rsidRDefault="009C5006" w:rsidP="009C5006">
      <w:pPr>
        <w:pStyle w:val="Style5"/>
        <w:widowControl/>
        <w:ind w:firstLine="567"/>
        <w:rPr>
          <w:rStyle w:val="FontStyle36"/>
          <w:i w:val="0"/>
          <w:sz w:val="28"/>
          <w:szCs w:val="28"/>
          <w:u w:val="single"/>
        </w:rPr>
      </w:pPr>
    </w:p>
    <w:p w:rsidR="009C5006" w:rsidRPr="00A61BB5" w:rsidRDefault="009C5006" w:rsidP="009C5006">
      <w:pPr>
        <w:pStyle w:val="a3"/>
        <w:rPr>
          <w:rStyle w:val="FontStyle40"/>
          <w:sz w:val="28"/>
          <w:szCs w:val="28"/>
        </w:rPr>
      </w:pPr>
      <w:r w:rsidRPr="00A61BB5">
        <w:rPr>
          <w:rStyle w:val="FontStyle40"/>
          <w:sz w:val="28"/>
          <w:szCs w:val="28"/>
        </w:rPr>
        <w:t xml:space="preserve">    Основанием для разработки данного паспорта являются следующие нормативно-законодательные документы:</w:t>
      </w:r>
    </w:p>
    <w:tbl>
      <w:tblPr>
        <w:tblpPr w:leftFromText="180" w:rightFromText="180" w:vertAnchor="text" w:horzAnchor="margin" w:tblpXSpec="center" w:tblpY="18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9597"/>
      </w:tblGrid>
      <w:tr w:rsidR="009C5006" w:rsidRPr="00A61BB5" w:rsidTr="00471A65">
        <w:trPr>
          <w:trHeight w:val="417"/>
        </w:trPr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документа</w:t>
            </w:r>
          </w:p>
        </w:tc>
      </w:tr>
      <w:tr w:rsidR="009C5006" w:rsidRPr="00A61BB5" w:rsidTr="00471A65">
        <w:trPr>
          <w:trHeight w:val="681"/>
        </w:trPr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pStyle w:val="a3"/>
              <w:jc w:val="both"/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</w:pPr>
            <w:r w:rsidRPr="00A61BB5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 xml:space="preserve">Федеральный  закон  Российской Федерации от 29 декабря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61BB5">
                <w:rPr>
                  <w:rFonts w:ascii="Times New Roman" w:eastAsia="+mn-ea" w:hAnsi="Times New Roman" w:cs="Times New Roman"/>
                  <w:color w:val="000000"/>
                  <w:sz w:val="28"/>
                  <w:szCs w:val="28"/>
                </w:rPr>
                <w:t>2012 г</w:t>
              </w:r>
            </w:smartTag>
            <w:r w:rsidRPr="00A61BB5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. N 273-ФЗ "Об образовании в Российской Федерации"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Семейный кодекс РФ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 кодекс</w:t>
            </w:r>
          </w:p>
        </w:tc>
      </w:tr>
      <w:tr w:rsidR="009C5006" w:rsidRPr="00A61BB5" w:rsidTr="00471A65">
        <w:trPr>
          <w:trHeight w:val="1409"/>
        </w:trPr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pStyle w:val="a3"/>
              <w:jc w:val="both"/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</w:pPr>
            <w:r w:rsidRPr="00A61BB5">
              <w:rPr>
                <w:rFonts w:ascii="Times New Roman" w:eastAsia="+mn-ea" w:hAnsi="Times New Roman" w:cs="Times New Roman"/>
                <w:color w:val="000000"/>
                <w:sz w:val="28"/>
                <w:szCs w:val="28"/>
              </w:rPr>
              <w:t>Порядок организации и образовательной деятельности по основным образовательным программам дошкольного образования, утверждённым приказом Министерства образования и науки Российской Федерации от 30 августа 2013г.№ 1014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Концепция дошкольного воспитания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2.4.1. 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BB5">
              <w:rPr>
                <w:rStyle w:val="FontStyle40"/>
                <w:sz w:val="28"/>
                <w:szCs w:val="28"/>
              </w:rPr>
              <w:t>Письмо МО РФ от 14.03.2000г. № 65/23-16 «О гигиенических требованиях к максимальной нагрузке детей дошкольного возраста в организованных формах обучения»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BB5">
              <w:rPr>
                <w:rStyle w:val="FontStyle40"/>
                <w:sz w:val="28"/>
                <w:szCs w:val="28"/>
              </w:rPr>
              <w:t>Устав дошкольного учреждения</w:t>
            </w:r>
            <w:r w:rsidRPr="00A61BB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РФ от 17.10.2013г. № 1155 «Об утверждении федерального государственного образовательного стандарта дошкольного образования»</w:t>
            </w:r>
          </w:p>
        </w:tc>
      </w:tr>
      <w:tr w:rsidR="009C5006" w:rsidRPr="00A61BB5" w:rsidTr="00471A65">
        <w:tc>
          <w:tcPr>
            <w:tcW w:w="576" w:type="dxa"/>
          </w:tcPr>
          <w:p w:rsidR="009C5006" w:rsidRPr="00A61BB5" w:rsidRDefault="009C5006" w:rsidP="00471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597" w:type="dxa"/>
          </w:tcPr>
          <w:p w:rsidR="009C5006" w:rsidRPr="00A61BB5" w:rsidRDefault="009C5006" w:rsidP="00471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BB5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РФ от 07.04. 2014г. № 276 «Об утверждении порядка проведения аттестации педагогических и руководящих работников организаций, осуществляющих образовательную деятельность»</w:t>
            </w:r>
          </w:p>
        </w:tc>
      </w:tr>
    </w:tbl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Pr="00DB560F" w:rsidRDefault="009C5006" w:rsidP="009C500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56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Санитарно – эпидемиологические и гигиенические требования  к музыкальному залу</w:t>
      </w:r>
    </w:p>
    <w:p w:rsidR="009C5006" w:rsidRPr="00993822" w:rsidRDefault="009C5006" w:rsidP="009C500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>Площадь музыкального зала должна составлять не менее 75 м</w:t>
      </w:r>
      <w:proofErr w:type="gramStart"/>
      <w:r w:rsidRPr="00A61BB5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Музыкальный зал не должен быть проходным помещением.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Половое покрытие должно обладать низкой теплопроводностью.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Поверхность стен помещения для музыкального зала окрашены  в светлые тона с коэффициентом отражения  0,6-0,8.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>Освещение музыкального зала ДОУ – естественное. Величина  коэффициента естественного освещения (КЕО) не менее  1,5%.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 Шторы на окнах не должны  снижать уровень естественного освещения.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 Цветы на окнах не должны снижать уровень освещения.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>Осветительная аппаратура должна обеспечивать равномерный свет.  Уровень освещения не менее 150 л.к.  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Лампы накаливания должны иметь защитную арматуру (светильники).  Все источники освещения должны находиться в исправном состоянии.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Чистоту оконных стекол производить не реже 2 раз в год.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В качестве нагревательных приборов могут использоваться радиаторы, трубчатые нагревательные  элементы. Температура поверхности  обогревательных приборов не более  + 80  градусов С.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Обогревательные   элементы должны   быть ограждены  съемными решетками.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Влажность воздуха  40- 60 %.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Проветривание  сквозное  и угловое  по 10 минут  через  1,5 часа. Проветривание проводится в отсутствии детей  и заканчивается за 30 минут до прихода детей.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Температура воздуха в музыкальном зале + 20 градусов С. 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>Перед  каждым занятием необходима влажная уборка помещения.</w:t>
      </w:r>
    </w:p>
    <w:p w:rsidR="009C5006" w:rsidRPr="00A61BB5" w:rsidRDefault="009C5006" w:rsidP="009C50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 xml:space="preserve"> Мебель согласно возрасту детей. Высота стульчиков в среднем 260-300 мм. 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Pr="00416461" w:rsidRDefault="009C5006" w:rsidP="009C50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461">
        <w:rPr>
          <w:rFonts w:ascii="Times New Roman" w:hAnsi="Times New Roman" w:cs="Times New Roman"/>
          <w:b/>
          <w:sz w:val="28"/>
          <w:szCs w:val="28"/>
        </w:rPr>
        <w:t>Основные цели и задачи деятельности музыкального зала</w:t>
      </w:r>
    </w:p>
    <w:p w:rsidR="009C5006" w:rsidRDefault="009C5006" w:rsidP="009C5006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5006" w:rsidRPr="00416461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Музыкальный зал является центром детского сада по осуществлению</w:t>
      </w:r>
    </w:p>
    <w:p w:rsidR="009C5006" w:rsidRPr="00416461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музыкально-эстетического развития детей.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Pr="00416461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Задачи музыкального воспитания в детском саду подчинены общей цели</w:t>
      </w:r>
    </w:p>
    <w:p w:rsidR="009C5006" w:rsidRPr="00416461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всестороннего и гармонического воспитания личности ребенка и строятся с уч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16461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461">
        <w:rPr>
          <w:rFonts w:ascii="Times New Roman" w:hAnsi="Times New Roman" w:cs="Times New Roman"/>
          <w:sz w:val="28"/>
          <w:szCs w:val="28"/>
        </w:rPr>
        <w:t>своеобразия музыкального искусства и возрастных особенностей дошкольников:</w:t>
      </w:r>
    </w:p>
    <w:p w:rsidR="009C5006" w:rsidRPr="00375EFB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воспитание интереса к музыке, развитие музыкальной восприимчивости,</w:t>
      </w:r>
      <w:r w:rsidRPr="00375EFB">
        <w:rPr>
          <w:rFonts w:ascii="Times New Roman" w:hAnsi="Times New Roman" w:cs="Times New Roman"/>
          <w:sz w:val="28"/>
          <w:szCs w:val="28"/>
        </w:rPr>
        <w:t xml:space="preserve"> </w:t>
      </w:r>
      <w:r w:rsidRPr="00416461">
        <w:rPr>
          <w:rFonts w:ascii="Times New Roman" w:hAnsi="Times New Roman" w:cs="Times New Roman"/>
          <w:sz w:val="28"/>
          <w:szCs w:val="28"/>
        </w:rPr>
        <w:t>музыкального слуха;</w:t>
      </w:r>
    </w:p>
    <w:p w:rsidR="009C5006" w:rsidRPr="00416461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lastRenderedPageBreak/>
        <w:t>обогащение музыкальных впечатлений детей;</w:t>
      </w:r>
    </w:p>
    <w:p w:rsidR="009C5006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 xml:space="preserve">знакомство детей с музыкальными понятиями, обучение простейшим </w:t>
      </w:r>
    </w:p>
    <w:p w:rsidR="009C5006" w:rsidRPr="00416461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практическим навыкам во всех видах музыкальной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5006" w:rsidRPr="00416461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развитие эмоциональной отзывчивости, музыкальных способностей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5006" w:rsidRPr="00416461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>обучение элементарным певческим и двигательным навыкам;</w:t>
      </w:r>
    </w:p>
    <w:p w:rsidR="009C5006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 xml:space="preserve">развитие творческой активности во всех доступных детям видах </w:t>
      </w:r>
    </w:p>
    <w:p w:rsidR="009C5006" w:rsidRPr="00416461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 xml:space="preserve">музыкальной деятельности; </w:t>
      </w:r>
    </w:p>
    <w:p w:rsidR="009C5006" w:rsidRPr="00375EFB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461">
        <w:rPr>
          <w:rFonts w:ascii="Times New Roman" w:hAnsi="Times New Roman" w:cs="Times New Roman"/>
          <w:sz w:val="28"/>
          <w:szCs w:val="28"/>
        </w:rPr>
        <w:t xml:space="preserve">формирование  самостоятельности, инициативы и стремления применять </w:t>
      </w:r>
      <w:r w:rsidRPr="00375EFB">
        <w:rPr>
          <w:rFonts w:ascii="Times New Roman" w:hAnsi="Times New Roman" w:cs="Times New Roman"/>
          <w:sz w:val="28"/>
          <w:szCs w:val="28"/>
        </w:rPr>
        <w:t>выученный репертуар в повседневной жизни, музицировать, петь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5EFB">
        <w:rPr>
          <w:rFonts w:ascii="Times New Roman" w:hAnsi="Times New Roman" w:cs="Times New Roman"/>
          <w:sz w:val="28"/>
          <w:szCs w:val="28"/>
        </w:rPr>
        <w:t>танцевать.</w:t>
      </w:r>
    </w:p>
    <w:p w:rsidR="009C5006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музыкального зала</w:t>
      </w:r>
    </w:p>
    <w:p w:rsidR="009C5006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особенность заключается в том, что зал совмещает две функции: музыкальное и физическое развитие детей. Поэтому всё спортивное оборудование и атрибуты для музыкальных занятий, праздников и развлечений находятся в специально оборудованных шкафах.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имеет два входа, пожарный выход на улицу.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Освещение:</w:t>
      </w:r>
    </w:p>
    <w:p w:rsidR="009C5006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естественное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 окна</w:t>
      </w:r>
    </w:p>
    <w:p w:rsidR="009C5006" w:rsidRDefault="009C5006" w:rsidP="009C500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искусственное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8 потолочных светильников РРО 1200</w:t>
      </w:r>
      <w:r w:rsidRPr="009C5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SMD</w:t>
      </w:r>
      <w:r>
        <w:rPr>
          <w:rFonts w:ascii="Times New Roman" w:hAnsi="Times New Roman" w:cs="Times New Roman"/>
          <w:sz w:val="28"/>
          <w:szCs w:val="28"/>
        </w:rPr>
        <w:t xml:space="preserve"> ДПО</w:t>
      </w:r>
    </w:p>
    <w:p w:rsidR="009C5006" w:rsidRP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(1200х75х25 40 Вт 4000к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9C5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Pr="009C5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Wax</w:t>
      </w:r>
      <w:proofErr w:type="gramEnd"/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зала – 76,7 кв. метра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– схема музыкального зала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006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277" cy="3398807"/>
            <wp:effectExtent l="19050" t="0" r="6273" b="0"/>
            <wp:docPr id="3" name="Рисунок 1" descr="з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77" cy="33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предметно – пространственная среда музыкального зала</w:t>
      </w:r>
    </w:p>
    <w:p w:rsidR="009C5006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006" w:rsidRPr="00A61BB5" w:rsidRDefault="009C5006" w:rsidP="009C500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</w:t>
      </w:r>
      <w:r w:rsidRPr="00A61BB5">
        <w:rPr>
          <w:rFonts w:ascii="Times New Roman" w:hAnsi="Times New Roman" w:cs="Times New Roman"/>
          <w:sz w:val="28"/>
          <w:szCs w:val="28"/>
        </w:rPr>
        <w:t xml:space="preserve"> к условиям реализации основной общеобразовательной программы дошкольного образования представляют собой совокупность требований, обеспечивающих реализацию ООП ДО, направленных на достижение планируемых результатов дошкольного образования. </w:t>
      </w:r>
    </w:p>
    <w:p w:rsidR="009C5006" w:rsidRPr="00A61BB5" w:rsidRDefault="009C5006" w:rsidP="009C500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>Интегративным результатом реализации условий является создание развивающей образовательной среды, соответствующей целому ряду требований. Воспитание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61BB5">
        <w:rPr>
          <w:rFonts w:ascii="Times New Roman" w:hAnsi="Times New Roman" w:cs="Times New Roman"/>
          <w:sz w:val="28"/>
          <w:szCs w:val="28"/>
        </w:rPr>
        <w:t>нка дошкольного возраста происходит в деятельности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61BB5">
        <w:rPr>
          <w:rFonts w:ascii="Times New Roman" w:hAnsi="Times New Roman" w:cs="Times New Roman"/>
          <w:sz w:val="28"/>
          <w:szCs w:val="28"/>
        </w:rPr>
        <w:t>нка, поэтому важнейшим условием для обеспечения этой деятельности можно считать создание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BB5">
        <w:rPr>
          <w:rFonts w:ascii="Times New Roman" w:hAnsi="Times New Roman" w:cs="Times New Roman"/>
          <w:sz w:val="28"/>
          <w:szCs w:val="28"/>
        </w:rPr>
        <w:t xml:space="preserve">- развивающей среды. </w:t>
      </w:r>
    </w:p>
    <w:p w:rsidR="009C5006" w:rsidRDefault="009C5006" w:rsidP="009C500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BB5">
        <w:rPr>
          <w:rFonts w:ascii="Times New Roman" w:hAnsi="Times New Roman" w:cs="Times New Roman"/>
          <w:sz w:val="28"/>
          <w:szCs w:val="28"/>
        </w:rPr>
        <w:t>Предметно-развивающая среда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BB5">
        <w:rPr>
          <w:rFonts w:ascii="Times New Roman" w:hAnsi="Times New Roman" w:cs="Times New Roman"/>
          <w:sz w:val="28"/>
          <w:szCs w:val="28"/>
        </w:rPr>
        <w:t>– это система материальных объектов деятельности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61BB5">
        <w:rPr>
          <w:rFonts w:ascii="Times New Roman" w:hAnsi="Times New Roman" w:cs="Times New Roman"/>
          <w:sz w:val="28"/>
          <w:szCs w:val="28"/>
        </w:rPr>
        <w:t>нка, функционально моделирующая содержание развития его духовного и нравственного облика. Это такая организация окружающего пространства, которая 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61BB5">
        <w:rPr>
          <w:rFonts w:ascii="Times New Roman" w:hAnsi="Times New Roman" w:cs="Times New Roman"/>
          <w:sz w:val="28"/>
          <w:szCs w:val="28"/>
        </w:rPr>
        <w:t>т возможность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A61BB5">
        <w:rPr>
          <w:rFonts w:ascii="Times New Roman" w:hAnsi="Times New Roman" w:cs="Times New Roman"/>
          <w:sz w:val="28"/>
          <w:szCs w:val="28"/>
        </w:rPr>
        <w:t>нку реализовать себя в различн</w:t>
      </w:r>
      <w:r>
        <w:rPr>
          <w:rFonts w:ascii="Times New Roman" w:hAnsi="Times New Roman" w:cs="Times New Roman"/>
          <w:sz w:val="28"/>
          <w:szCs w:val="28"/>
        </w:rPr>
        <w:t xml:space="preserve">ых видах деятельности. 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музыкального зала</w:t>
      </w:r>
    </w:p>
    <w:p w:rsidR="009C5006" w:rsidRDefault="009C5006" w:rsidP="009C500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– 1 штука</w:t>
      </w:r>
    </w:p>
    <w:p w:rsidR="009C5006" w:rsidRDefault="009C5006" w:rsidP="009C500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 – 2 штуки</w:t>
      </w:r>
    </w:p>
    <w:p w:rsidR="009C5006" w:rsidRDefault="009C5006" w:rsidP="009C500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оборудование (проектор, доска) – 1 штука</w:t>
      </w:r>
    </w:p>
    <w:p w:rsidR="009C5006" w:rsidRDefault="009C5006" w:rsidP="009C500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Стулья детские – 20 штук</w:t>
      </w:r>
    </w:p>
    <w:p w:rsidR="009C5006" w:rsidRDefault="009C5006" w:rsidP="009C500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игрушки для танцев, игр, слушания музыки</w:t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обыгрывания, театрализации – 50 штук 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для музыкально – ритмических движений: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ленты – 44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флажки – 44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платочки – 30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звёзды на палочках – 42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цветы – 30 букетов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веточки осенние – 40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снежки – 25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листья плоскостные – 40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снежинки плоскостные – 44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платочки синие – 16 штук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треугольники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барабаны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ложки деревянные – 30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бубны – 10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барабаны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колокольчики – 25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бубенчики – 25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трещётки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деревянные палочки – 40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металлофоны – 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ксилофоны – 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грибочки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>) – 20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погремушки – 30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погремушки – ягодки – 15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погремушки – рыбки – 15 штук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для экспериментирования со звуками: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деревянные катушки – 40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скорлупки от орешков – 40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коробочки с разным наполнителем (рис, горох, манка, камешки) – 20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металлические трубочки – 20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фантики – 30 штук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для танцев: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сарафаны жёлтые – 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сарафаны красные – 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японские костюмы – 4 комплекта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платья – 6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блузы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эскимосы (девочки) – 6 комплектов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картузы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камуфляжные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жёлтые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6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индейцы (девочки) – 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шляпки разноцветные – 12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шапочки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 штуки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Карнавальные костюмы: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лиса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заяц – 2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медведь – 3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клоун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козлёнок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поросёнок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дракон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ёжик – 1 штука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Шапочки вязаные (животные) – 6 штук </w:t>
      </w:r>
    </w:p>
    <w:p w:rsidR="009C5006" w:rsidRDefault="009C5006" w:rsidP="009C50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взрослые: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Дед мороз – 2 комплекта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Снегурочка – </w:t>
      </w:r>
      <w:r w:rsidR="00C1129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комплект</w:t>
      </w:r>
      <w:r w:rsidR="00C1129D">
        <w:rPr>
          <w:rFonts w:ascii="Times New Roman" w:hAnsi="Times New Roman" w:cs="Times New Roman"/>
          <w:sz w:val="28"/>
          <w:szCs w:val="28"/>
        </w:rPr>
        <w:t>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Пьеро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Снеговик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Зимушка – 1 комплект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Лиса – 1 штука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Бабушка – 2 комплекта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Баба Яга – 1 комплект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пиджаки (мужские) – 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блузки белые (женские) – 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блузки разноцветные (женские) – 5 штук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рубахи (мужские) – 4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лапти – 2 пары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сарафаны – 3 штуки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военная форма – 1 комплект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форма полицейская – 1 комплект</w:t>
      </w:r>
    </w:p>
    <w:p w:rsidR="009C5006" w:rsidRDefault="009C5006" w:rsidP="009C500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методический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комплекс музыкального зала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Гогоберидзе А.Г.,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Деркунская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 «Детство с музыкой» Современные педагогические технологии музыкального воспитания и развития детей раннего и дошкольного возраста. – СПб «ДЕТСТВО – ПРЕСС», 2015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Давыдова М.А. «Сценарии музыкальных календарных и фольклорных праздников»  - М., «ВАКО»,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Девятова Т.Н. «Звук -  волшебник» Образовательная программа по воспитанию детей старшего дошкольного возраста. –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пресс, 2006 г.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Зарецкая Н.В.,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З.Я. «Праздники в детском саду» из серии «Внимание: дети!» - М., «АЙРИСС ПРЕСС», 2004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Зарецкая Н.В.,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З.Я. «Танцы  в детском саду» из серии «Внимание: дети!» - М., «АЙРИСС ПРЕСС», 2004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Зарецкая Н.В. «Календарные музыкальные праздники для детей раннего и младшего дошкольного возраста » из серии «Внимание: дети!» - М., «АЙРИСС ПРЕСС», 2005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 «Праздники и развлечения в детском саду» Методическое пособие для музыкальных руководителей. – М., «МОЗАИКА – СИНТЕЗ», 2008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ЛАДУШКИ  Программа по музыкальному воспитанию детей дошкольного возраста. – ММ</w:t>
      </w:r>
    </w:p>
    <w:p w:rsidR="009C5006" w:rsidRDefault="009C5006" w:rsidP="009C500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СПб ООО «Невская нота», 2014</w:t>
      </w:r>
    </w:p>
    <w:p w:rsidR="009C5006" w:rsidRPr="002B2E57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Библиотека программы «ЛАДУШКИ» «Хи-хи-хи да ха-ха-ха!» вып.1,2 Методическое пособие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аудиоприложением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музыкальных руководителей детских садов, учителей музыки, педагогов. -   </w:t>
      </w:r>
      <w:r w:rsidRPr="002B2E57">
        <w:rPr>
          <w:rFonts w:ascii="Times New Roman" w:hAnsi="Times New Roman" w:cs="Times New Roman"/>
          <w:sz w:val="28"/>
          <w:szCs w:val="28"/>
        </w:rPr>
        <w:t>СПб ООО «Невская нота», 2009</w:t>
      </w:r>
    </w:p>
    <w:p w:rsidR="009C5006" w:rsidRPr="002B2E57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 Библиотека программы «ЛАДУШКИ»  «ЯСЕЛЬКИ» Планирование и репертуар музыкальных занятий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аудиоприложением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 </w:t>
      </w:r>
      <w:r w:rsidRPr="002B2E57">
        <w:rPr>
          <w:rFonts w:ascii="Times New Roman" w:hAnsi="Times New Roman" w:cs="Times New Roman"/>
          <w:sz w:val="28"/>
          <w:szCs w:val="28"/>
        </w:rPr>
        <w:t>СПб ООО «Невская нота», 2010</w:t>
      </w:r>
    </w:p>
    <w:p w:rsidR="009C5006" w:rsidRPr="002B2E57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 Библиотека программы «ЛАДУШКИ»  «Наш весёлый оркестр»  вып.1,2Методическое пособие с аудио и видео приложением для музыкальных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детских садов, учителей музыки, педагогов.  –  </w:t>
      </w:r>
      <w:r w:rsidRPr="002B2E57">
        <w:rPr>
          <w:rFonts w:ascii="Times New Roman" w:hAnsi="Times New Roman" w:cs="Times New Roman"/>
          <w:sz w:val="28"/>
          <w:szCs w:val="28"/>
        </w:rPr>
        <w:t>СПб ООО «Невская нота», 201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C5006" w:rsidRPr="002B2E57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 Библиотека программы «ЛАДУШКИ»  «Необыкновенные путешествия»  Методическое пособие с аудио приложением для музыкальных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детских садов, учителей музыки, педагогов.  –  </w:t>
      </w:r>
      <w:r w:rsidRPr="002B2E57">
        <w:rPr>
          <w:rFonts w:ascii="Times New Roman" w:hAnsi="Times New Roman" w:cs="Times New Roman"/>
          <w:sz w:val="28"/>
          <w:szCs w:val="28"/>
        </w:rPr>
        <w:t>СПб ООО «Невская нота», 201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C5006" w:rsidRPr="002B2E57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 Библиотека программы «ЛАДУШКИ»  «Весёлые досуги»  Методическое пособие для музыкальных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детских садов, учителей музыки, педагогов.  –  </w:t>
      </w:r>
      <w:r w:rsidRPr="002B2E57">
        <w:rPr>
          <w:rFonts w:ascii="Times New Roman" w:hAnsi="Times New Roman" w:cs="Times New Roman"/>
          <w:sz w:val="28"/>
          <w:szCs w:val="28"/>
        </w:rPr>
        <w:t>СПб ООО «Невская нота», 201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«Забавы для малышей» Театрализованные развлечения для детей 2 – 3 лет. – М., Творческий центр «СФЕРА»,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Конспекты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с детьми 2 - 3 лет. – М., Творческий центр «СФЕРА»,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Конспекты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с детьми 3- 4 лет. – М., Творческий центр «СФЕРА»,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Конспекты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с детьми 4 - 5 лет. – М., Творческий центр «СФЕРА»,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Конспекты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с детьми 5 - 6 лет. – М., Творческий центр «СФЕРА»,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Конспекты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с детьми 6 - 7 лет. – М., Творческий центр «СФЕРА», 2007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Весенние детские праздники. Сценарии с нотным приложением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М., Творческий центр «СФЕРА», 2013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Осенние  детские праздники. Сценарии с нотным приложением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М., Творческий центр «СФЕРА», 2013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Зимние  детские праздники. Сценарии с нотным приложением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М., Творческий центр «СФЕРА», 2013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Праздник победы. Сценарии с нотным приложением – М., Творческий центр «СФЕРА», 2013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Т.Б. Стихи к весенним детским праздникам</w:t>
      </w:r>
    </w:p>
    <w:p w:rsidR="009C5006" w:rsidRDefault="009C5006" w:rsidP="009C500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М., Творческий центр «СФЕРА», 2014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Ледяйкина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Н.Г., Топникова Л.А. Праздники для современных малышей из серии «Детский сад:  день за днём»  - Ярославль, Академия развития, 2004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Луконина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Праздники в детском саду. Из серии «Внимание: дети!» -  М., «АЙРИСС ПРЕСС», 2004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Луконина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Утренники в детском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саду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ценарии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природе.  Из серии «Внимание: дети!» -  М., «АЙРИСС ПРЕСС», 2004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Луконина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Выпускные праздники в детском саду. Из серии «Внимание: дети!» -  М., «АЙРИСС ПРЕСС», 2004 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Олифирова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«Подружитесь с песенкой» Песни для дошкольников.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., Издательский дом «Воспитание дошкольника», 2010 г.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З.Я. Музыкальные сценарии для детского сада. Из серии «Внимание: дети!» -  М., «АЙРИСС ПРЕСС», 2005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Равчеева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 Организация, проведение и формы музыкальных игр. Интеллектуально – творческое развитие старших дошкольников в музыкально – игровом пространстве.  – Волгоград «Учитель», 2014</w:t>
      </w:r>
    </w:p>
    <w:p w:rsidR="009C5006" w:rsidRPr="00D90624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90624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D90624">
        <w:rPr>
          <w:rFonts w:ascii="Times New Roman" w:hAnsi="Times New Roman" w:cs="Times New Roman"/>
          <w:sz w:val="28"/>
          <w:szCs w:val="28"/>
        </w:rPr>
        <w:t xml:space="preserve"> О.П. «Музыкальные шедевры». Авторская программа и методические рекомендации. – М., 1999.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40EF">
        <w:rPr>
          <w:rFonts w:ascii="Times New Roman" w:hAnsi="Times New Roman" w:cs="Times New Roman"/>
          <w:sz w:val="28"/>
          <w:szCs w:val="28"/>
        </w:rPr>
        <w:lastRenderedPageBreak/>
        <w:t>Радынова</w:t>
      </w:r>
      <w:proofErr w:type="spellEnd"/>
      <w:r w:rsidRPr="007640EF">
        <w:rPr>
          <w:rFonts w:ascii="Times New Roman" w:hAnsi="Times New Roman" w:cs="Times New Roman"/>
          <w:sz w:val="28"/>
          <w:szCs w:val="28"/>
        </w:rPr>
        <w:t xml:space="preserve">. О.П.  «Музыкальное развитие детей (2-х </w:t>
      </w:r>
      <w:proofErr w:type="gramStart"/>
      <w:r w:rsidRPr="007640EF">
        <w:rPr>
          <w:rFonts w:ascii="Times New Roman" w:hAnsi="Times New Roman" w:cs="Times New Roman"/>
          <w:sz w:val="28"/>
          <w:szCs w:val="28"/>
        </w:rPr>
        <w:t>томах</w:t>
      </w:r>
      <w:proofErr w:type="gramEnd"/>
      <w:r w:rsidRPr="007640EF">
        <w:rPr>
          <w:rFonts w:ascii="Times New Roman" w:hAnsi="Times New Roman" w:cs="Times New Roman"/>
          <w:sz w:val="28"/>
          <w:szCs w:val="28"/>
        </w:rPr>
        <w:t>)»  – М., «Гуманитарный издательский центр  ВЛАДОС»1997.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Музыкальные утренники в детском саду. Из серии «Мир вашего ребёнка» - Ростов – на Дону «Феникс», 2004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Тютюнникова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Т.Э.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Бом!» Сто секретов музыки для детей вып.1.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по творческому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и младшего школьного возраста.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«Редакция журнала «Музыкальная палитра», 2015г.</w:t>
      </w:r>
    </w:p>
    <w:p w:rsidR="009C5006" w:rsidRDefault="009C5006" w:rsidP="009C500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Ходаковская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З.В. Музыкальные праздники и занятия для детей 3-4 лет. </w:t>
      </w:r>
    </w:p>
    <w:p w:rsidR="009C5006" w:rsidRDefault="009C5006" w:rsidP="009C500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М., Мозаика – синтез, 2005</w:t>
      </w:r>
    </w:p>
    <w:p w:rsidR="009C5006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37. Холл </w:t>
      </w:r>
      <w:proofErr w:type="gramStart"/>
      <w:r>
        <w:rPr>
          <w:rFonts w:ascii="Times New Roman" w:hAnsi="Times New Roman" w:cs="Times New Roman"/>
          <w:sz w:val="28"/>
          <w:szCs w:val="28"/>
        </w:rPr>
        <w:t>Дж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Учимся танцевать из серии «Детский сад: день за днём»    </w:t>
      </w:r>
    </w:p>
    <w:p w:rsidR="009C5006" w:rsidRPr="007640EF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Весёлые уроки танцев для дошколят – М., АСТ АРТЕЛЬ, 2008</w:t>
      </w:r>
    </w:p>
    <w:p w:rsidR="009C5006" w:rsidRDefault="009C5006" w:rsidP="009C500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20A67">
        <w:rPr>
          <w:rFonts w:ascii="Times New Roman" w:hAnsi="Times New Roman" w:cs="Times New Roman"/>
          <w:sz w:val="28"/>
          <w:szCs w:val="28"/>
        </w:rPr>
        <w:t>Чайковский П.И. «Времена года», «Детский альбом»</w:t>
      </w:r>
    </w:p>
    <w:p w:rsidR="009C5006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006" w:rsidRDefault="009C5006" w:rsidP="009C50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работы музыкально – спортивного  зала</w:t>
      </w:r>
    </w:p>
    <w:p w:rsidR="009C5006" w:rsidRDefault="009C5006" w:rsidP="009C50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5006" w:rsidRPr="00F231CC" w:rsidRDefault="009C5006" w:rsidP="009C50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4159" cy="2708694"/>
            <wp:effectExtent l="19050" t="0" r="564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65" t="23003" r="12989" b="1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59" cy="27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06" w:rsidRDefault="009C5006" w:rsidP="009C50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9C5006" w:rsidSect="00375EFB">
      <w:pgSz w:w="11906" w:h="16838"/>
      <w:pgMar w:top="851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3329"/>
    <w:multiLevelType w:val="hybridMultilevel"/>
    <w:tmpl w:val="C332D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37B37"/>
    <w:multiLevelType w:val="hybridMultilevel"/>
    <w:tmpl w:val="90D4A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325EF"/>
    <w:multiLevelType w:val="hybridMultilevel"/>
    <w:tmpl w:val="EF5E8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152D4"/>
    <w:multiLevelType w:val="hybridMultilevel"/>
    <w:tmpl w:val="F22E8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D5AD4"/>
    <w:multiLevelType w:val="hybridMultilevel"/>
    <w:tmpl w:val="995E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42866"/>
    <w:multiLevelType w:val="hybridMultilevel"/>
    <w:tmpl w:val="1F58E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6A7161"/>
    <w:multiLevelType w:val="hybridMultilevel"/>
    <w:tmpl w:val="B0A889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86331A8"/>
    <w:multiLevelType w:val="hybridMultilevel"/>
    <w:tmpl w:val="9344306C"/>
    <w:lvl w:ilvl="0" w:tplc="734A4CAA">
      <w:start w:val="3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D5C9C"/>
    <w:multiLevelType w:val="hybridMultilevel"/>
    <w:tmpl w:val="2C3A1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2025F2"/>
    <w:multiLevelType w:val="hybridMultilevel"/>
    <w:tmpl w:val="CA40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870DB"/>
    <w:multiLevelType w:val="hybridMultilevel"/>
    <w:tmpl w:val="C56A0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114A8"/>
    <w:multiLevelType w:val="hybridMultilevel"/>
    <w:tmpl w:val="42DA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C31B6F"/>
    <w:multiLevelType w:val="hybridMultilevel"/>
    <w:tmpl w:val="56DA3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1E428B"/>
    <w:multiLevelType w:val="hybridMultilevel"/>
    <w:tmpl w:val="AAE2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725D2B"/>
    <w:multiLevelType w:val="hybridMultilevel"/>
    <w:tmpl w:val="05C6F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95FB0"/>
    <w:multiLevelType w:val="hybridMultilevel"/>
    <w:tmpl w:val="7F0A3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11"/>
  </w:num>
  <w:num w:numId="6">
    <w:abstractNumId w:val="7"/>
  </w:num>
  <w:num w:numId="7">
    <w:abstractNumId w:val="9"/>
  </w:num>
  <w:num w:numId="8">
    <w:abstractNumId w:val="0"/>
  </w:num>
  <w:num w:numId="9">
    <w:abstractNumId w:val="14"/>
  </w:num>
  <w:num w:numId="10">
    <w:abstractNumId w:val="1"/>
  </w:num>
  <w:num w:numId="11">
    <w:abstractNumId w:val="15"/>
  </w:num>
  <w:num w:numId="12">
    <w:abstractNumId w:val="10"/>
  </w:num>
  <w:num w:numId="13">
    <w:abstractNumId w:val="12"/>
  </w:num>
  <w:num w:numId="14">
    <w:abstractNumId w:val="8"/>
  </w:num>
  <w:num w:numId="15">
    <w:abstractNumId w:val="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006"/>
    <w:rsid w:val="001E576E"/>
    <w:rsid w:val="00913B84"/>
    <w:rsid w:val="009C5006"/>
    <w:rsid w:val="00C11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0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5006"/>
    <w:pPr>
      <w:spacing w:after="0" w:line="240" w:lineRule="auto"/>
    </w:pPr>
  </w:style>
  <w:style w:type="table" w:styleId="a4">
    <w:name w:val="Table Grid"/>
    <w:basedOn w:val="a1"/>
    <w:uiPriority w:val="59"/>
    <w:rsid w:val="009C5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9C50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9C5006"/>
    <w:rPr>
      <w:rFonts w:ascii="Times New Roman" w:hAnsi="Times New Roman" w:cs="Times New Roman"/>
      <w:b/>
      <w:bCs/>
      <w:i/>
      <w:iCs/>
      <w:sz w:val="38"/>
      <w:szCs w:val="38"/>
    </w:rPr>
  </w:style>
  <w:style w:type="character" w:customStyle="1" w:styleId="FontStyle40">
    <w:name w:val="Font Style40"/>
    <w:rsid w:val="009C5006"/>
    <w:rPr>
      <w:rFonts w:ascii="Times New Roman" w:hAnsi="Times New Roman" w:cs="Times New Roman"/>
      <w:sz w:val="26"/>
      <w:szCs w:val="26"/>
    </w:rPr>
  </w:style>
  <w:style w:type="character" w:styleId="a5">
    <w:name w:val="Hyperlink"/>
    <w:basedOn w:val="a0"/>
    <w:uiPriority w:val="99"/>
    <w:unhideWhenUsed/>
    <w:rsid w:val="009C500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3</cp:revision>
  <dcterms:created xsi:type="dcterms:W3CDTF">2020-08-21T04:52:00Z</dcterms:created>
  <dcterms:modified xsi:type="dcterms:W3CDTF">2020-08-21T05:05:00Z</dcterms:modified>
</cp:coreProperties>
</file>